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B6" w:rsidRDefault="009B75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Temat: Imiesłowowy równoważnik zdania-ćwiczenia.</w:t>
      </w:r>
    </w:p>
    <w:p w:rsidR="009B7584" w:rsidRDefault="009B7584" w:rsidP="009B758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Przypomnij sobie wiadomości o imiesłowowym równoważniku zdania.</w:t>
      </w:r>
    </w:p>
    <w:p w:rsidR="009B7584" w:rsidRDefault="009B7584" w:rsidP="009B758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Zasady poprawnego stosowania tego równoważnika – z</w:t>
      </w:r>
      <w:r w:rsidRPr="009B7584">
        <w:rPr>
          <w:sz w:val="24"/>
          <w:szCs w:val="24"/>
        </w:rPr>
        <w:t>apisz</w:t>
      </w:r>
      <w:r>
        <w:rPr>
          <w:sz w:val="24"/>
          <w:szCs w:val="24"/>
        </w:rPr>
        <w:t xml:space="preserve"> w zeszycie.</w:t>
      </w:r>
    </w:p>
    <w:p w:rsidR="009B7584" w:rsidRDefault="009B7584" w:rsidP="009B758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Imiesłowowy równoważnik zdania zastępuje zdanie podrzędne, zamiast orzeczenia posiada imiesłów</w:t>
      </w:r>
    </w:p>
    <w:p w:rsidR="009B7584" w:rsidRDefault="009B7584" w:rsidP="009B7584">
      <w:pPr>
        <w:pStyle w:val="Akapitzlist"/>
        <w:ind w:left="1080"/>
        <w:rPr>
          <w:sz w:val="24"/>
          <w:szCs w:val="24"/>
        </w:rPr>
      </w:pPr>
    </w:p>
    <w:p w:rsidR="009B7584" w:rsidRDefault="009B7584" w:rsidP="009B7584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Szedł drogą i wesoło podśpiewywał.</w:t>
      </w:r>
    </w:p>
    <w:p w:rsidR="009B7584" w:rsidRDefault="009B7584" w:rsidP="009B7584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Idąc drogą, wesoło podśpiewywał.</w:t>
      </w:r>
    </w:p>
    <w:p w:rsidR="009B7584" w:rsidRDefault="009B7584" w:rsidP="009B7584">
      <w:pPr>
        <w:pStyle w:val="Akapitzlist"/>
        <w:ind w:left="1080"/>
        <w:rPr>
          <w:sz w:val="24"/>
          <w:szCs w:val="24"/>
        </w:rPr>
      </w:pPr>
    </w:p>
    <w:p w:rsidR="009B7584" w:rsidRDefault="009B7584" w:rsidP="009B758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Taki równoważnik tworzą tylko imiesłowy przysłówkowe -współczesne lub uprzednie</w:t>
      </w:r>
    </w:p>
    <w:p w:rsidR="009B7584" w:rsidRDefault="009B7584" w:rsidP="009B758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Imiesłów przysłówkowy współczesny stosuje się w równoważniku dla wyrażenia czynności równoczesnej z tą nazwaną w zdaniu nadrzędnym, zaś imiesłów uprzedni – dla wyrażenia czynności wcześniejszej niż czynność nazwana w zdaniu</w:t>
      </w:r>
    </w:p>
    <w:p w:rsidR="009B7584" w:rsidRDefault="009B7584" w:rsidP="009B7584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Wróciwszy do domu, odrobił lekcje. (najpierw wrócił, później odrobił-uprzedni)</w:t>
      </w:r>
    </w:p>
    <w:p w:rsidR="009B7584" w:rsidRDefault="009B7584" w:rsidP="009B7584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Pracując w domu, wiele się nauczył. (jednocześnie pracował i się uczył-współczesny)</w:t>
      </w:r>
    </w:p>
    <w:p w:rsidR="009B7584" w:rsidRDefault="009B7584" w:rsidP="009B7584">
      <w:pPr>
        <w:pStyle w:val="Akapitzlist"/>
        <w:ind w:left="1080"/>
        <w:rPr>
          <w:sz w:val="24"/>
          <w:szCs w:val="24"/>
        </w:rPr>
      </w:pPr>
    </w:p>
    <w:p w:rsidR="009B7584" w:rsidRDefault="005125DD" w:rsidP="009B7584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Wykonaj pisemnie z</w:t>
      </w:r>
      <w:bookmarkStart w:id="0" w:name="_GoBack"/>
      <w:bookmarkEnd w:id="0"/>
      <w:r w:rsidR="009B7584">
        <w:rPr>
          <w:sz w:val="24"/>
          <w:szCs w:val="24"/>
        </w:rPr>
        <w:t>adania:</w:t>
      </w:r>
    </w:p>
    <w:p w:rsidR="009B7584" w:rsidRPr="009B7584" w:rsidRDefault="009B7584" w:rsidP="009B7584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Podr. s. 283 – 3, 4, 6</w:t>
      </w:r>
    </w:p>
    <w:sectPr w:rsidR="009B7584" w:rsidRPr="009B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2B6A"/>
    <w:multiLevelType w:val="hybridMultilevel"/>
    <w:tmpl w:val="E22E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55934"/>
    <w:multiLevelType w:val="hybridMultilevel"/>
    <w:tmpl w:val="9AA08798"/>
    <w:lvl w:ilvl="0" w:tplc="4760A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B6"/>
    <w:rsid w:val="005125DD"/>
    <w:rsid w:val="009B7584"/>
    <w:rsid w:val="00E4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57E2"/>
  <w15:chartTrackingRefBased/>
  <w15:docId w15:val="{670E5D09-E49D-43CA-B706-B1C64456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2020-03-26T10:02:00Z</dcterms:created>
  <dcterms:modified xsi:type="dcterms:W3CDTF">2020-03-26T10:12:00Z</dcterms:modified>
</cp:coreProperties>
</file>